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2563EB"/>
          <w:sz w:val="68"/>
        </w:rPr>
        <w:t>ATRYVO</w:t>
      </w:r>
    </w:p>
    <w:p>
      <w:pPr>
        <w:jc w:val="center"/>
      </w:pPr>
      <w:r>
        <w:rPr>
          <w:b/>
          <w:color w:val="020617"/>
          <w:sz w:val="52"/>
        </w:rPr>
        <w:t>Software Complete Guide</w:t>
      </w:r>
    </w:p>
    <w:p>
      <w:pPr>
        <w:jc w:val="center"/>
      </w:pPr>
      <w:r>
        <w:rPr>
          <w:color w:val="64748B"/>
          <w:sz w:val="26"/>
        </w:rPr>
        <w:t>Android-first analytics, attribution, engagement, experience builder, and AI growth operating system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ECFDF5"/>
          </w:tcPr>
          <w:p>
            <w:pPr>
              <w:spacing w:after="40"/>
            </w:pPr>
            <w:r>
              <w:rPr>
                <w:b/>
                <w:color w:val="020617"/>
                <w:sz w:val="21"/>
              </w:rPr>
              <w:t>Purpose</w:t>
            </w:r>
          </w:p>
          <w:p>
            <w:pPr>
              <w:spacing w:after="0"/>
            </w:pPr>
            <w:r>
              <w:rPr>
                <w:color w:val="334155"/>
                <w:sz w:val="19"/>
              </w:rPr>
              <w:t>This handbook explains Atryvo functionality in a book-style index format for clients, internal teams, investors, implementation partners, and support agents.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2304"/>
            <w:shd w:fill="E8EEF5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020617"/>
                <w:sz w:val="19"/>
              </w:rPr>
              <w:t>Document</w:t>
            </w:r>
          </w:p>
        </w:tc>
        <w:tc>
          <w:tcPr>
            <w:tcW w:type="dxa" w:w="6912"/>
            <w:shd w:fill="E8EEF5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020617"/>
                <w:sz w:val="19"/>
              </w:rPr>
              <w:t>Details</w:t>
            </w:r>
          </w:p>
        </w:tc>
      </w:tr>
      <w:tr>
        <w:tc>
          <w:tcPr>
            <w:tcW w:type="dxa" w:w="2304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Product</w:t>
            </w:r>
          </w:p>
        </w:tc>
        <w:tc>
          <w:tcPr>
            <w:tcW w:type="dxa" w:w="6912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Atryvo</w:t>
            </w:r>
          </w:p>
        </w:tc>
      </w:tr>
      <w:tr>
        <w:tc>
          <w:tcPr>
            <w:tcW w:type="dxa" w:w="2304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Audience</w:t>
            </w:r>
          </w:p>
        </w:tc>
        <w:tc>
          <w:tcPr>
            <w:tcW w:type="dxa" w:w="6912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Client product teams, marketers, analytics teams, implementation engineers, support agents, and platform admins</w:t>
            </w:r>
          </w:p>
        </w:tc>
      </w:tr>
      <w:tr>
        <w:tc>
          <w:tcPr>
            <w:tcW w:type="dxa" w:w="2304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Version</w:t>
            </w:r>
          </w:p>
        </w:tc>
        <w:tc>
          <w:tcPr>
            <w:tcW w:type="dxa" w:w="6912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Enterprise MVP handbook</w:t>
            </w:r>
          </w:p>
        </w:tc>
      </w:tr>
      <w:tr>
        <w:tc>
          <w:tcPr>
            <w:tcW w:type="dxa" w:w="2304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Primary URL</w:t>
            </w:r>
          </w:p>
        </w:tc>
        <w:tc>
          <w:tcPr>
            <w:tcW w:type="dxa" w:w="6912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https://atryvo.com</w:t>
            </w:r>
          </w:p>
        </w:tc>
      </w:tr>
      <w:tr>
        <w:tc>
          <w:tcPr>
            <w:tcW w:type="dxa" w:w="2304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Primary value</w:t>
            </w:r>
          </w:p>
        </w:tc>
        <w:tc>
          <w:tcPr>
            <w:tcW w:type="dxa" w:w="6912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One Android-first platform for analytics, attribution, engagement, remote UI experiences, and growth intelligence</w:t>
            </w:r>
          </w:p>
        </w:tc>
      </w:tr>
    </w:tbl>
    <w:p/>
    <w:p>
      <w:r>
        <w:br w:type="page"/>
      </w:r>
    </w:p>
    <w:p>
      <w:pPr>
        <w:pStyle w:val="Heading1"/>
      </w:pPr>
      <w:r>
        <w:t>Table of Contents</w:t>
      </w:r>
    </w:p>
    <w:p>
      <w:pPr>
        <w:pStyle w:val="Heading2"/>
      </w:pPr>
      <w:r>
        <w:t>Book Index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3168"/>
            <w:shd w:fill="E8EEF5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020617"/>
                <w:sz w:val="19"/>
              </w:rPr>
              <w:t>Chapter</w:t>
            </w:r>
          </w:p>
        </w:tc>
        <w:tc>
          <w:tcPr>
            <w:tcW w:type="dxa" w:w="6912"/>
            <w:shd w:fill="E8EEF5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020617"/>
                <w:sz w:val="19"/>
              </w:rPr>
              <w:t>What The Reader Will Learn</w:t>
            </w:r>
          </w:p>
        </w:tc>
      </w:tr>
      <w:tr>
        <w:tc>
          <w:tcPr>
            <w:tcW w:type="dxa" w:w="3168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1. Executive Overview</w:t>
            </w:r>
          </w:p>
        </w:tc>
        <w:tc>
          <w:tcPr>
            <w:tcW w:type="dxa" w:w="6912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What Atryvo is, who buys it, and why it exists.</w:t>
            </w:r>
          </w:p>
        </w:tc>
      </w:tr>
      <w:tr>
        <w:tc>
          <w:tcPr>
            <w:tcW w:type="dxa" w:w="3168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2. Product Terminology</w:t>
            </w:r>
          </w:p>
        </w:tc>
        <w:tc>
          <w:tcPr>
            <w:tcW w:type="dxa" w:w="6912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Definitions for workspace, app, API key, anonymous ID, attribution, segment, SDK health, and more.</w:t>
            </w:r>
          </w:p>
        </w:tc>
      </w:tr>
      <w:tr>
        <w:tc>
          <w:tcPr>
            <w:tcW w:type="dxa" w:w="3168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3. Platform Roles And Login Model</w:t>
            </w:r>
          </w:p>
        </w:tc>
        <w:tc>
          <w:tcPr>
            <w:tcW w:type="dxa" w:w="6912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Admin, agent, and client portal responsibilities and access paths.</w:t>
            </w:r>
          </w:p>
        </w:tc>
      </w:tr>
      <w:tr>
        <w:tc>
          <w:tcPr>
            <w:tcW w:type="dxa" w:w="3168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4. Client Portal Workflow</w:t>
            </w:r>
          </w:p>
        </w:tc>
        <w:tc>
          <w:tcPr>
            <w:tcW w:type="dxa" w:w="6912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How a client creates apps, manages SDK keys, and reads analytics.</w:t>
            </w:r>
          </w:p>
        </w:tc>
      </w:tr>
      <w:tr>
        <w:tc>
          <w:tcPr>
            <w:tcW w:type="dxa" w:w="3168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5. Android SDK</w:t>
            </w:r>
          </w:p>
        </w:tc>
        <w:tc>
          <w:tcPr>
            <w:tcW w:type="dxa" w:w="6912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Integration API, privacy guardrails, auto-tracking, queueing, and AAR/Maven usage.</w:t>
            </w:r>
          </w:p>
        </w:tc>
      </w:tr>
      <w:tr>
        <w:tc>
          <w:tcPr>
            <w:tcW w:type="dxa" w:w="3168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6. Analytics And Realtime Dashboards</w:t>
            </w:r>
          </w:p>
        </w:tc>
        <w:tc>
          <w:tcPr>
            <w:tcW w:type="dxa" w:w="6912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How live users, sessions, installs, revenue, events, and quoted fares are calculated.</w:t>
            </w:r>
          </w:p>
        </w:tc>
      </w:tr>
      <w:tr>
        <w:tc>
          <w:tcPr>
            <w:tcW w:type="dxa" w:w="3168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7. Attribution And Smart Links</w:t>
            </w:r>
          </w:p>
        </w:tc>
        <w:tc>
          <w:tcPr>
            <w:tcW w:type="dxa" w:w="6912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Install referrer, smart links, deferred deep links, partner readiness, and evidence timeline.</w:t>
            </w:r>
          </w:p>
        </w:tc>
      </w:tr>
      <w:tr>
        <w:tc>
          <w:tcPr>
            <w:tcW w:type="dxa" w:w="3168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8. Engagement</w:t>
            </w:r>
          </w:p>
        </w:tc>
        <w:tc>
          <w:tcPr>
            <w:tcW w:type="dxa" w:w="6912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Push, in-app messaging, journeys, orchestration, experiments, and campaign operations.</w:t>
            </w:r>
          </w:p>
        </w:tc>
      </w:tr>
      <w:tr>
        <w:tc>
          <w:tcPr>
            <w:tcW w:type="dxa" w:w="3168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9. Experience Builder</w:t>
            </w:r>
          </w:p>
        </w:tc>
        <w:tc>
          <w:tcPr>
            <w:tcW w:type="dxa" w:w="6912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No-code Android UI experiences, targeting, templates, analytics, and rendering safety.</w:t>
            </w:r>
          </w:p>
        </w:tc>
      </w:tr>
      <w:tr>
        <w:tc>
          <w:tcPr>
            <w:tcW w:type="dxa" w:w="3168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10. Customer Behavior</w:t>
            </w:r>
          </w:p>
        </w:tc>
        <w:tc>
          <w:tcPr>
            <w:tcW w:type="dxa" w:w="6912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Profiles, identity stitching, user search, event timelines, and customer 360.</w:t>
            </w:r>
          </w:p>
        </w:tc>
      </w:tr>
      <w:tr>
        <w:tc>
          <w:tcPr>
            <w:tcW w:type="dxa" w:w="3168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11. Uninstall Tracking</w:t>
            </w:r>
          </w:p>
        </w:tc>
        <w:tc>
          <w:tcPr>
            <w:tcW w:type="dxa" w:w="6912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FCM token capture, validation jobs, probe reports, and limitations.</w:t>
            </w:r>
          </w:p>
        </w:tc>
      </w:tr>
      <w:tr>
        <w:tc>
          <w:tcPr>
            <w:tcW w:type="dxa" w:w="3168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12. Revenue, Funnels, Cohorts, LTV</w:t>
            </w:r>
          </w:p>
        </w:tc>
        <w:tc>
          <w:tcPr>
            <w:tcW w:type="dxa" w:w="6912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Revenue logic, latest quoted fare, funnels, retention, and LTV views.</w:t>
            </w:r>
          </w:p>
        </w:tc>
      </w:tr>
      <w:tr>
        <w:tc>
          <w:tcPr>
            <w:tcW w:type="dxa" w:w="3168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13. AI Growth Intelligence</w:t>
            </w:r>
          </w:p>
        </w:tc>
        <w:tc>
          <w:tcPr>
            <w:tcW w:type="dxa" w:w="6912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Current deterministic AI-style insights and future LLM integration.</w:t>
            </w:r>
          </w:p>
        </w:tc>
      </w:tr>
      <w:tr>
        <w:tc>
          <w:tcPr>
            <w:tcW w:type="dxa" w:w="3168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14. Data Platform</w:t>
            </w:r>
          </w:p>
        </w:tc>
        <w:tc>
          <w:tcPr>
            <w:tcW w:type="dxa" w:w="6912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PostgreSQL, Redpanda/Kafka, ClickHouse, exports, webhooks, and observability.</w:t>
            </w:r>
          </w:p>
        </w:tc>
      </w:tr>
      <w:tr>
        <w:tc>
          <w:tcPr>
            <w:tcW w:type="dxa" w:w="3168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15. Privacy And Security</w:t>
            </w:r>
          </w:p>
        </w:tc>
        <w:tc>
          <w:tcPr>
            <w:tcW w:type="dxa" w:w="6912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Consent, sensitive data filtering, RBAC, MFA/SSO readiness, and secret management.</w:t>
            </w:r>
          </w:p>
        </w:tc>
      </w:tr>
      <w:tr>
        <w:tc>
          <w:tcPr>
            <w:tcW w:type="dxa" w:w="3168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16. Admin And Agent Management</w:t>
            </w:r>
          </w:p>
        </w:tc>
        <w:tc>
          <w:tcPr>
            <w:tcW w:type="dxa" w:w="6912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Client provisioning, workspace deactivation, user roles, and audit logs.</w:t>
            </w:r>
          </w:p>
        </w:tc>
      </w:tr>
      <w:tr>
        <w:tc>
          <w:tcPr>
            <w:tcW w:type="dxa" w:w="3168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17. Deployment And Operations</w:t>
            </w:r>
          </w:p>
        </w:tc>
        <w:tc>
          <w:tcPr>
            <w:tcW w:type="dxa" w:w="6912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GitHub, VPS, Docker, Caddy, secret manager, health checks, and runbook.</w:t>
            </w:r>
          </w:p>
        </w:tc>
      </w:tr>
      <w:tr>
        <w:tc>
          <w:tcPr>
            <w:tcW w:type="dxa" w:w="3168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18. Implementation Checklist</w:t>
            </w:r>
          </w:p>
        </w:tc>
        <w:tc>
          <w:tcPr>
            <w:tcW w:type="dxa" w:w="6912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Client onboarding steps before and after SDK launch.</w:t>
            </w:r>
          </w:p>
        </w:tc>
      </w:tr>
      <w:tr>
        <w:tc>
          <w:tcPr>
            <w:tcW w:type="dxa" w:w="3168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19. Troubleshooting</w:t>
            </w:r>
          </w:p>
        </w:tc>
        <w:tc>
          <w:tcPr>
            <w:tcW w:type="dxa" w:w="6912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Common issues and direct fixes.</w:t>
            </w:r>
          </w:p>
        </w:tc>
      </w:tr>
      <w:tr>
        <w:tc>
          <w:tcPr>
            <w:tcW w:type="dxa" w:w="3168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20. Roadmap</w:t>
            </w:r>
          </w:p>
        </w:tc>
        <w:tc>
          <w:tcPr>
            <w:tcW w:type="dxa" w:w="6912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Enterprise readiness items and future hardening areas.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F8FAFC"/>
          </w:tcPr>
          <w:p>
            <w:pPr>
              <w:spacing w:after="40"/>
            </w:pPr>
            <w:r>
              <w:rPr>
                <w:b/>
                <w:color w:val="020617"/>
                <w:sz w:val="21"/>
              </w:rPr>
              <w:t>Navigation note</w:t>
            </w:r>
          </w:p>
          <w:p>
            <w:pPr>
              <w:spacing w:after="0"/>
            </w:pPr>
            <w:r>
              <w:rPr>
                <w:color w:val="334155"/>
                <w:sz w:val="19"/>
              </w:rPr>
              <w:t>This visible book index is intentionally included so the handbook is readable immediately in Word, PDF, browser preview, and shared copies.</w:t>
            </w:r>
          </w:p>
        </w:tc>
      </w:tr>
    </w:tbl>
    <w:p/>
    <w:p>
      <w:r>
        <w:br w:type="page"/>
      </w:r>
    </w:p>
    <w:p>
      <w:pPr>
        <w:pStyle w:val="Heading1"/>
      </w:pPr>
      <w:r>
        <w:t>1. Executive Overview</w:t>
      </w:r>
    </w:p>
    <w:p>
      <w:pPr>
        <w:pStyle w:val="Heading2"/>
      </w:pPr>
      <w:r>
        <w:t>What Atryvo Is</w:t>
      </w:r>
    </w:p>
    <w:p>
      <w:r>
        <w:t>Atryvo is an Android-first mobile growth operating system. It combines SDK-based analytics, install attribution, smart links, deep links, screen tracking, customer behavior, engagement campaigns, in-app messaging, Experience Builder, uninstall tracking, and operational dashboards.</w:t>
      </w:r>
    </w:p>
    <w:p>
      <w:r>
        <w:t>The product is designed for companies that do not want to buy and integrate separate tools for attribution, analytics, engagement, product adoption, and raw data ownership.</w:t>
      </w:r>
    </w:p>
    <w:p>
      <w:pPr>
        <w:pStyle w:val="Heading2"/>
      </w:pPr>
      <w:r>
        <w:t>Why Companies Buy It</w:t>
      </w:r>
    </w:p>
    <w:p>
      <w:r>
        <w:t>A single SDK collects privacy-safe behavior and sends it to one backend.</w:t>
      </w:r>
    </w:p>
    <w:p>
      <w:r>
        <w:t>Client teams can see app installs, users, sessions, screens, events, revenue, deep links, campaigns, SDK health, uninstall readiness, and user behavior from one portal.</w:t>
      </w:r>
    </w:p>
    <w:p>
      <w:r>
        <w:t>Growth teams can create audiences, journeys, push campaigns, in-app messages, and Android-native remote UI experiences without releasing a new app version.</w:t>
      </w:r>
    </w:p>
    <w:p>
      <w:r>
        <w:t>Engineering teams get a safer integration surface with consent controls, retries, queueing, SDK diagnostics, and Maven/AAR delivery options.</w:t>
      </w:r>
    </w:p>
    <w:p>
      <w:r>
        <w:br w:type="page"/>
      </w:r>
    </w:p>
    <w:p>
      <w:pPr>
        <w:pStyle w:val="Heading1"/>
      </w:pPr>
      <w:r>
        <w:t>2. Product Terminology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2448"/>
            <w:shd w:fill="E8EEF5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020617"/>
                <w:sz w:val="19"/>
              </w:rPr>
              <w:t>Term</w:t>
            </w:r>
          </w:p>
        </w:tc>
        <w:tc>
          <w:tcPr>
            <w:tcW w:type="dxa" w:w="6768"/>
            <w:shd w:fill="E8EEF5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020617"/>
                <w:sz w:val="19"/>
              </w:rPr>
              <w:t>Meaning</w:t>
            </w:r>
          </w:p>
        </w:tc>
      </w:tr>
      <w:tr>
        <w:tc>
          <w:tcPr>
            <w:tcW w:type="dxa" w:w="2448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Workspace</w:t>
            </w:r>
          </w:p>
        </w:tc>
        <w:tc>
          <w:tcPr>
            <w:tcW w:type="dxa" w:w="6768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A company account or business space inside Atryvo. It contains apps, members, API keys, analytics, campaigns, and settings.</w:t>
            </w:r>
          </w:p>
        </w:tc>
      </w:tr>
      <w:tr>
        <w:tc>
          <w:tcPr>
            <w:tcW w:type="dxa" w:w="2448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App</w:t>
            </w:r>
          </w:p>
        </w:tc>
        <w:tc>
          <w:tcPr>
            <w:tcW w:type="dxa" w:w="6768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A registered Android application with package name, app ID, API keys, and event data.</w:t>
            </w:r>
          </w:p>
        </w:tc>
      </w:tr>
      <w:tr>
        <w:tc>
          <w:tcPr>
            <w:tcW w:type="dxa" w:w="2448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API key</w:t>
            </w:r>
          </w:p>
        </w:tc>
        <w:tc>
          <w:tcPr>
            <w:tcW w:type="dxa" w:w="6768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The credential used by the SDK to send events. Keys are stored hashed in the backend and shown only with prefixes in the portal.</w:t>
            </w:r>
          </w:p>
        </w:tc>
      </w:tr>
      <w:tr>
        <w:tc>
          <w:tcPr>
            <w:tcW w:type="dxa" w:w="2448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Anonymous ID</w:t>
            </w:r>
          </w:p>
        </w:tc>
        <w:tc>
          <w:tcPr>
            <w:tcW w:type="dxa" w:w="6768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A privacy-safe device/app identity used before a customer user ID is set.</w:t>
            </w:r>
          </w:p>
        </w:tc>
      </w:tr>
      <w:tr>
        <w:tc>
          <w:tcPr>
            <w:tcW w:type="dxa" w:w="2448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Customer User ID</w:t>
            </w:r>
          </w:p>
        </w:tc>
        <w:tc>
          <w:tcPr>
            <w:tcW w:type="dxa" w:w="6768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The app developer's known user identifier, such as a logged-in customer ID. It should not be a password, OTP, card number, or sensitive value.</w:t>
            </w:r>
          </w:p>
        </w:tc>
      </w:tr>
      <w:tr>
        <w:tc>
          <w:tcPr>
            <w:tcW w:type="dxa" w:w="2448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Install ID</w:t>
            </w:r>
          </w:p>
        </w:tc>
        <w:tc>
          <w:tcPr>
            <w:tcW w:type="dxa" w:w="6768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A persistent SDK-generated ID used to deduplicate installs and stitch anonymous-to-known behavior.</w:t>
            </w:r>
          </w:p>
        </w:tc>
      </w:tr>
      <w:tr>
        <w:tc>
          <w:tcPr>
            <w:tcW w:type="dxa" w:w="2448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Session</w:t>
            </w:r>
          </w:p>
        </w:tc>
        <w:tc>
          <w:tcPr>
            <w:tcW w:type="dxa" w:w="6768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A period of active app usage from foreground/open until background/end.</w:t>
            </w:r>
          </w:p>
        </w:tc>
      </w:tr>
      <w:tr>
        <w:tc>
          <w:tcPr>
            <w:tcW w:type="dxa" w:w="2448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Event</w:t>
            </w:r>
          </w:p>
        </w:tc>
        <w:tc>
          <w:tcPr>
            <w:tcW w:type="dxa" w:w="6768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A tracked action such as search, purchase, screen view, payment failure, app open, or custom business event.</w:t>
            </w:r>
          </w:p>
        </w:tc>
      </w:tr>
      <w:tr>
        <w:tc>
          <w:tcPr>
            <w:tcW w:type="dxa" w:w="2448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Attribution</w:t>
            </w:r>
          </w:p>
        </w:tc>
        <w:tc>
          <w:tcPr>
            <w:tcW w:type="dxa" w:w="6768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The process of deciding which source, campaign, click, referrer, or smart link caused an install or conversion.</w:t>
            </w:r>
          </w:p>
        </w:tc>
      </w:tr>
      <w:tr>
        <w:tc>
          <w:tcPr>
            <w:tcW w:type="dxa" w:w="2448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Deep link</w:t>
            </w:r>
          </w:p>
        </w:tc>
        <w:tc>
          <w:tcPr>
            <w:tcW w:type="dxa" w:w="6768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A link that opens a specific screen inside the app.</w:t>
            </w:r>
          </w:p>
        </w:tc>
      </w:tr>
      <w:tr>
        <w:tc>
          <w:tcPr>
            <w:tcW w:type="dxa" w:w="2448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Deferred deep link</w:t>
            </w:r>
          </w:p>
        </w:tc>
        <w:tc>
          <w:tcPr>
            <w:tcW w:type="dxa" w:w="6768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A deep link decision applied after install, when the user clicked before the app was installed.</w:t>
            </w:r>
          </w:p>
        </w:tc>
      </w:tr>
      <w:tr>
        <w:tc>
          <w:tcPr>
            <w:tcW w:type="dxa" w:w="2448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Experience</w:t>
            </w:r>
          </w:p>
        </w:tc>
        <w:tc>
          <w:tcPr>
            <w:tcW w:type="dxa" w:w="6768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A no-code Android-native UI block delivered remotely through the SDK, such as banner, bottom sheet, coupon, NPS, or recommendation card.</w:t>
            </w:r>
          </w:p>
        </w:tc>
      </w:tr>
      <w:tr>
        <w:tc>
          <w:tcPr>
            <w:tcW w:type="dxa" w:w="2448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Segment</w:t>
            </w:r>
          </w:p>
        </w:tc>
        <w:tc>
          <w:tcPr>
            <w:tcW w:type="dxa" w:w="6768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A dynamic audience based on behavior, properties, attribution, scores, or lifecycle state.</w:t>
            </w:r>
          </w:p>
        </w:tc>
      </w:tr>
      <w:tr>
        <w:tc>
          <w:tcPr>
            <w:tcW w:type="dxa" w:w="2448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Push token</w:t>
            </w:r>
          </w:p>
        </w:tc>
        <w:tc>
          <w:tcPr>
            <w:tcW w:type="dxa" w:w="6768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FCM token used for push delivery and uninstall detection. It is collected only when configured and consented.</w:t>
            </w:r>
          </w:p>
        </w:tc>
      </w:tr>
      <w:tr>
        <w:tc>
          <w:tcPr>
            <w:tcW w:type="dxa" w:w="2448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SDK Health</w:t>
            </w:r>
          </w:p>
        </w:tc>
        <w:tc>
          <w:tcPr>
            <w:tcW w:type="dxa" w:w="6768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Operational view of SDK version, app version, key status, event freshness, queue, referrer, deep link, and push token readiness.</w:t>
            </w:r>
          </w:p>
        </w:tc>
      </w:tr>
    </w:tbl>
    <w:p/>
    <w:p>
      <w:r>
        <w:br w:type="page"/>
      </w:r>
    </w:p>
    <w:p>
      <w:pPr>
        <w:pStyle w:val="Heading1"/>
      </w:pPr>
      <w:r>
        <w:t>3. Platform Roles And Login Model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12"/>
        <w:gridCol w:w="3312"/>
        <w:gridCol w:w="3312"/>
      </w:tblGrid>
      <w:tr>
        <w:tc>
          <w:tcPr>
            <w:tcW w:type="dxa" w:w="1584"/>
            <w:shd w:fill="E8EEF5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020617"/>
                <w:sz w:val="19"/>
              </w:rPr>
              <w:t>Role</w:t>
            </w:r>
          </w:p>
        </w:tc>
        <w:tc>
          <w:tcPr>
            <w:tcW w:type="dxa" w:w="5328"/>
            <w:shd w:fill="E8EEF5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020617"/>
                <w:sz w:val="19"/>
              </w:rPr>
              <w:t>Purpose</w:t>
            </w:r>
          </w:p>
        </w:tc>
        <w:tc>
          <w:tcPr>
            <w:tcW w:type="dxa" w:w="2304"/>
            <w:shd w:fill="E8EEF5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020617"/>
                <w:sz w:val="19"/>
              </w:rPr>
              <w:t>Typical Access</w:t>
            </w:r>
          </w:p>
        </w:tc>
      </w:tr>
      <w:tr>
        <w:tc>
          <w:tcPr>
            <w:tcW w:type="dxa" w:w="1584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Admin</w:t>
            </w:r>
          </w:p>
        </w:tc>
        <w:tc>
          <w:tcPr>
            <w:tcW w:type="dxa" w:w="5328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Atryvo owner/super admin managing platform clients, agents, users, billing, workspaces, apps, and audits.</w:t>
            </w:r>
          </w:p>
        </w:tc>
        <w:tc>
          <w:tcPr>
            <w:tcW w:type="dxa" w:w="2304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/portal/admin/login</w:t>
            </w:r>
          </w:p>
        </w:tc>
      </w:tr>
      <w:tr>
        <w:tc>
          <w:tcPr>
            <w:tcW w:type="dxa" w:w="1584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Agent</w:t>
            </w:r>
          </w:p>
        </w:tc>
        <w:tc>
          <w:tcPr>
            <w:tcW w:type="dxa" w:w="5328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Support or implementation team member who manages only assigned or created client workspaces.</w:t>
            </w:r>
          </w:p>
        </w:tc>
        <w:tc>
          <w:tcPr>
            <w:tcW w:type="dxa" w:w="2304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/portal/agent/login</w:t>
            </w:r>
          </w:p>
        </w:tc>
      </w:tr>
      <w:tr>
        <w:tc>
          <w:tcPr>
            <w:tcW w:type="dxa" w:w="1584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Client</w:t>
            </w:r>
          </w:p>
        </w:tc>
        <w:tc>
          <w:tcPr>
            <w:tcW w:type="dxa" w:w="5328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Company user who manages their own assigned workspace, apps, API keys, dashboards, and campaigns.</w:t>
            </w:r>
          </w:p>
        </w:tc>
        <w:tc>
          <w:tcPr>
            <w:tcW w:type="dxa" w:w="2304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/portal/client/login</w:t>
            </w:r>
          </w:p>
        </w:tc>
      </w:tr>
    </w:tbl>
    <w:p/>
    <w:p>
      <w:pPr>
        <w:pStyle w:val="ListBullet"/>
        <w:spacing w:after="60"/>
      </w:pPr>
      <w:r>
        <w:t>Client users should normally land directly in their assigned workspace/apps flow.</w:t>
      </w:r>
    </w:p>
    <w:p>
      <w:pPr>
        <w:pStyle w:val="ListBullet"/>
        <w:spacing w:after="60"/>
      </w:pPr>
      <w:r>
        <w:t>Workspace creation belongs to Admin and selected Agent workflows, not ordinary Client users.</w:t>
      </w:r>
    </w:p>
    <w:p>
      <w:pPr>
        <w:pStyle w:val="ListBullet"/>
        <w:spacing w:after="60"/>
      </w:pPr>
      <w:r>
        <w:t>Inactive workspace state should block action until reactivated by Admin.</w:t>
      </w:r>
    </w:p>
    <w:p>
      <w:r>
        <w:br w:type="page"/>
      </w:r>
    </w:p>
    <w:p>
      <w:pPr>
        <w:pStyle w:val="Heading1"/>
      </w:pPr>
      <w:r>
        <w:t>4. Client Portal Workflow</w:t>
      </w:r>
    </w:p>
    <w:p>
      <w:pPr>
        <w:pStyle w:val="ListNumber"/>
        <w:spacing w:after="60"/>
      </w:pPr>
      <w:r>
        <w:t>Client logs in through the Client portal.</w:t>
      </w:r>
    </w:p>
    <w:p>
      <w:pPr>
        <w:pStyle w:val="ListNumber"/>
        <w:spacing w:after="60"/>
      </w:pPr>
      <w:r>
        <w:t>Client sees assigned workspace and enrolled apps.</w:t>
      </w:r>
    </w:p>
    <w:p>
      <w:pPr>
        <w:pStyle w:val="ListNumber"/>
        <w:spacing w:after="60"/>
      </w:pPr>
      <w:r>
        <w:t>Client adds an Android app with app name and package name.</w:t>
      </w:r>
    </w:p>
    <w:p>
      <w:pPr>
        <w:pStyle w:val="ListNumber"/>
        <w:spacing w:after="60"/>
      </w:pPr>
      <w:r>
        <w:t>Client generates or views API key prefixes in API Keys.</w:t>
      </w:r>
    </w:p>
    <w:p>
      <w:pPr>
        <w:pStyle w:val="ListNumber"/>
        <w:spacing w:after="60"/>
      </w:pPr>
      <w:r>
        <w:t>Engineering integrates SDK using Maven/AAR and initializes with app ID, API key, and base URL.</w:t>
      </w:r>
    </w:p>
    <w:p>
      <w:pPr>
        <w:pStyle w:val="ListNumber"/>
        <w:spacing w:after="60"/>
      </w:pPr>
      <w:r>
        <w:t>Portal shows live ingestion, SDK health, events, screens, sessions, attribution, revenue, and campaign data.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ECFDF5"/>
          </w:tcPr>
          <w:p>
            <w:pPr>
              <w:spacing w:after="40"/>
            </w:pPr>
            <w:r>
              <w:rPr>
                <w:b/>
                <w:color w:val="020617"/>
                <w:sz w:val="21"/>
              </w:rPr>
              <w:t>Credibility rule</w:t>
            </w:r>
          </w:p>
          <w:p>
            <w:pPr>
              <w:spacing w:after="0"/>
            </w:pPr>
            <w:r>
              <w:rPr>
                <w:color w:val="334155"/>
                <w:sz w:val="19"/>
              </w:rPr>
              <w:t>Dashboard metrics must be traceable. Counts should be deduplicated by install ID, anonymous ID, customer user ID, and session ID. Quoted fare should not be taken from generic click/back events.</w:t>
            </w:r>
          </w:p>
        </w:tc>
      </w:tr>
    </w:tbl>
    <w:p/>
    <w:p>
      <w:r>
        <w:br w:type="page"/>
      </w:r>
    </w:p>
    <w:p>
      <w:pPr>
        <w:pStyle w:val="Heading1"/>
      </w:pPr>
      <w:r>
        <w:t>5. Android SDK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2304"/>
            <w:shd w:fill="E8EEF5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020617"/>
                <w:sz w:val="19"/>
              </w:rPr>
              <w:t>SDK Area</w:t>
            </w:r>
          </w:p>
        </w:tc>
        <w:tc>
          <w:tcPr>
            <w:tcW w:type="dxa" w:w="6912"/>
            <w:shd w:fill="E8EEF5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020617"/>
                <w:sz w:val="19"/>
              </w:rPr>
              <w:t>Functionality</w:t>
            </w:r>
          </w:p>
        </w:tc>
      </w:tr>
      <w:tr>
        <w:tc>
          <w:tcPr>
            <w:tcW w:type="dxa" w:w="2304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Initialization</w:t>
            </w:r>
          </w:p>
        </w:tc>
        <w:tc>
          <w:tcPr>
            <w:tcW w:type="dxa" w:w="6912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Atryvo.init with appId, apiKey, baseUrl, environment, debug logs, lifecycle/screen/click/crash flags, batch and queue settings.</w:t>
            </w:r>
          </w:p>
        </w:tc>
      </w:tr>
      <w:tr>
        <w:tc>
          <w:tcPr>
            <w:tcW w:type="dxa" w:w="2304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Consent</w:t>
            </w:r>
          </w:p>
        </w:tc>
        <w:tc>
          <w:tcPr>
            <w:tcW w:type="dxa" w:w="6912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setUserConsent, opt-out, Advertising ID only after consent, no uploads when consent blocks it.</w:t>
            </w:r>
          </w:p>
        </w:tc>
      </w:tr>
      <w:tr>
        <w:tc>
          <w:tcPr>
            <w:tcW w:type="dxa" w:w="2304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Identity</w:t>
            </w:r>
          </w:p>
        </w:tc>
        <w:tc>
          <w:tcPr>
            <w:tcW w:type="dxa" w:w="6912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Persistent anonymous/install/session IDs, customer user ID, user property support, identity stitching.</w:t>
            </w:r>
          </w:p>
        </w:tc>
      </w:tr>
      <w:tr>
        <w:tc>
          <w:tcPr>
            <w:tcW w:type="dxa" w:w="2304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Events</w:t>
            </w:r>
          </w:p>
        </w:tc>
        <w:tc>
          <w:tcPr>
            <w:tcW w:type="dxa" w:w="6912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trackEvent, trackScreen, trackSearch, trackAction, revenue/purchase events, deep link handling.</w:t>
            </w:r>
          </w:p>
        </w:tc>
      </w:tr>
      <w:tr>
        <w:tc>
          <w:tcPr>
            <w:tcW w:type="dxa" w:w="2304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Queue</w:t>
            </w:r>
          </w:p>
        </w:tc>
        <w:tc>
          <w:tcPr>
            <w:tcW w:type="dxa" w:w="6912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Local event storage, retry, flush, WorkManager network constraints, max queue limits.</w:t>
            </w:r>
          </w:p>
        </w:tc>
      </w:tr>
      <w:tr>
        <w:tc>
          <w:tcPr>
            <w:tcW w:type="dxa" w:w="2304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Device info</w:t>
            </w:r>
          </w:p>
        </w:tc>
        <w:tc>
          <w:tcPr>
            <w:tcW w:type="dxa" w:w="6912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Package, app version, SDK version, OS, device model, language, country, timezone, network, screen size; no sensitive fields.</w:t>
            </w:r>
          </w:p>
        </w:tc>
      </w:tr>
      <w:tr>
        <w:tc>
          <w:tcPr>
            <w:tcW w:type="dxa" w:w="2304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Experience Builder</w:t>
            </w:r>
          </w:p>
        </w:tc>
        <w:tc>
          <w:tcPr>
            <w:tcW w:type="dxa" w:w="6912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Remote UI sync, matching, cache, rendering, impression/click/dismiss/conversion tracking.</w:t>
            </w:r>
          </w:p>
        </w:tc>
      </w:tr>
      <w:tr>
        <w:tc>
          <w:tcPr>
            <w:tcW w:type="dxa" w:w="2304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Push token</w:t>
            </w:r>
          </w:p>
        </w:tc>
        <w:tc>
          <w:tcPr>
            <w:tcW w:type="dxa" w:w="6912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FCM token registration through SDK or explicit Atryvo.setPushToken(token, "fcm").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FEF2F2"/>
          </w:tcPr>
          <w:p>
            <w:pPr>
              <w:spacing w:after="40"/>
            </w:pPr>
            <w:r>
              <w:rPr>
                <w:b/>
                <w:color w:val="020617"/>
                <w:sz w:val="21"/>
              </w:rPr>
              <w:t>SDK privacy guardrail</w:t>
            </w:r>
          </w:p>
          <w:p>
            <w:pPr>
              <w:spacing w:after="0"/>
            </w:pPr>
            <w:r>
              <w:rPr>
                <w:color w:val="334155"/>
                <w:sz w:val="19"/>
              </w:rPr>
              <w:t>The SDK must never read OTP, password, card, CVV, UPI PIN, SMS, contacts, call logs, precise location, or EditText values automatically.</w:t>
            </w:r>
          </w:p>
        </w:tc>
      </w:tr>
    </w:tbl>
    <w:p/>
    <w:p>
      <w:pPr>
        <w:pStyle w:val="Heading2"/>
      </w:pPr>
      <w:r>
        <w:t>Minimal Android Integration</w:t>
      </w:r>
    </w:p>
    <w:p>
      <w:r>
        <w:t>Atryvo.init(context = applicationContext, config = AtryvoConfig(appId = "APP_ID", apiKey = "API_KEY", baseUrl = "https://atryvo.com"))</w:t>
      </w:r>
    </w:p>
    <w:p>
      <w:r>
        <w:t>Atryvo.setUserConsent(true)</w:t>
      </w:r>
    </w:p>
    <w:p>
      <w:r>
        <w:t>Atryvo.trackEvent("purchase", mapOf("amount" to 999, "currency" to "INR"))</w:t>
      </w:r>
    </w:p>
    <w:p>
      <w:r>
        <w:br w:type="page"/>
      </w:r>
    </w:p>
    <w:p>
      <w:pPr>
        <w:pStyle w:val="Heading1"/>
      </w:pPr>
      <w:r>
        <w:t>6. Analytics And Realtime Dashboards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2592"/>
            <w:shd w:fill="E8EEF5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020617"/>
                <w:sz w:val="19"/>
              </w:rPr>
              <w:t>Metric</w:t>
            </w:r>
          </w:p>
        </w:tc>
        <w:tc>
          <w:tcPr>
            <w:tcW w:type="dxa" w:w="6624"/>
            <w:shd w:fill="E8EEF5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020617"/>
                <w:sz w:val="19"/>
              </w:rPr>
              <w:t>Definition</w:t>
            </w:r>
          </w:p>
        </w:tc>
      </w:tr>
      <w:tr>
        <w:tc>
          <w:tcPr>
            <w:tcW w:type="dxa" w:w="2592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Live users now</w:t>
            </w:r>
          </w:p>
        </w:tc>
        <w:tc>
          <w:tcPr>
            <w:tcW w:type="dxa" w:w="6624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Unique active identities in the selected live window, stitched using customer ID, install ID, anonymous ID, and session ID.</w:t>
            </w:r>
          </w:p>
        </w:tc>
      </w:tr>
      <w:tr>
        <w:tc>
          <w:tcPr>
            <w:tcW w:type="dxa" w:w="2592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Live sessions</w:t>
            </w:r>
          </w:p>
        </w:tc>
        <w:tc>
          <w:tcPr>
            <w:tcW w:type="dxa" w:w="6624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Distinct active session IDs in the live window.</w:t>
            </w:r>
          </w:p>
        </w:tc>
      </w:tr>
      <w:tr>
        <w:tc>
          <w:tcPr>
            <w:tcW w:type="dxa" w:w="2592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Total installs</w:t>
            </w:r>
          </w:p>
        </w:tc>
        <w:tc>
          <w:tcPr>
            <w:tcW w:type="dxa" w:w="6624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Unique install records after dedupe.</w:t>
            </w:r>
          </w:p>
        </w:tc>
      </w:tr>
      <w:tr>
        <w:tc>
          <w:tcPr>
            <w:tcW w:type="dxa" w:w="2592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DAU/MAU</w:t>
            </w:r>
          </w:p>
        </w:tc>
        <w:tc>
          <w:tcPr>
            <w:tcW w:type="dxa" w:w="6624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Unique active identities in the last day/month windows.</w:t>
            </w:r>
          </w:p>
        </w:tc>
      </w:tr>
      <w:tr>
        <w:tc>
          <w:tcPr>
            <w:tcW w:type="dxa" w:w="2592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Sessions</w:t>
            </w:r>
          </w:p>
        </w:tc>
        <w:tc>
          <w:tcPr>
            <w:tcW w:type="dxa" w:w="6624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Unique tracked SDK sessions.</w:t>
            </w:r>
          </w:p>
        </w:tc>
      </w:tr>
      <w:tr>
        <w:tc>
          <w:tcPr>
            <w:tcW w:type="dxa" w:w="2592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Average session duration</w:t>
            </w:r>
          </w:p>
        </w:tc>
        <w:tc>
          <w:tcPr>
            <w:tcW w:type="dxa" w:w="6624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Average duration from session records or session end event fallback.</w:t>
            </w:r>
          </w:p>
        </w:tc>
      </w:tr>
      <w:tr>
        <w:tc>
          <w:tcPr>
            <w:tcW w:type="dxa" w:w="2592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Revenue</w:t>
            </w:r>
          </w:p>
        </w:tc>
        <w:tc>
          <w:tcPr>
            <w:tcW w:type="dxa" w:w="6624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Confirmed purchase/payment revenue only, not quoted fare.</w:t>
            </w:r>
          </w:p>
        </w:tc>
      </w:tr>
      <w:tr>
        <w:tc>
          <w:tcPr>
            <w:tcW w:type="dxa" w:w="2592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Latest quoted fare</w:t>
            </w:r>
          </w:p>
        </w:tc>
        <w:tc>
          <w:tcPr>
            <w:tcW w:type="dxa" w:w="6624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Trusted fare/search/listing quote events only, not click/back events.</w:t>
            </w:r>
          </w:p>
        </w:tc>
      </w:tr>
    </w:tbl>
    <w:p/>
    <w:p>
      <w:pPr>
        <w:pStyle w:val="ListBullet"/>
        <w:spacing w:after="60"/>
      </w:pPr>
      <w:r>
        <w:t>The Live Stream page shows latest events and user/device context.</w:t>
      </w:r>
    </w:p>
    <w:p>
      <w:pPr>
        <w:pStyle w:val="ListBullet"/>
        <w:spacing w:after="60"/>
      </w:pPr>
      <w:r>
        <w:t>The SDK Health page shows integration status and missing setup.</w:t>
      </w:r>
    </w:p>
    <w:p>
      <w:pPr>
        <w:pStyle w:val="ListBullet"/>
        <w:spacing w:after="60"/>
      </w:pPr>
      <w:r>
        <w:t>Screens and paths show activity, screen duration, transitions, and drop-off signals.</w:t>
      </w:r>
    </w:p>
    <w:p>
      <w:r>
        <w:br w:type="page"/>
      </w:r>
    </w:p>
    <w:p>
      <w:pPr>
        <w:pStyle w:val="Heading1"/>
      </w:pPr>
      <w:r>
        <w:t>7. Attribution, Smart Links, And Deferred Deep Links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2448"/>
            <w:shd w:fill="E8EEF5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020617"/>
                <w:sz w:val="19"/>
              </w:rPr>
              <w:t>Feature</w:t>
            </w:r>
          </w:p>
        </w:tc>
        <w:tc>
          <w:tcPr>
            <w:tcW w:type="dxa" w:w="6768"/>
            <w:shd w:fill="E8EEF5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020617"/>
                <w:sz w:val="19"/>
              </w:rPr>
              <w:t>What It Does</w:t>
            </w:r>
          </w:p>
        </w:tc>
      </w:tr>
      <w:tr>
        <w:tc>
          <w:tcPr>
            <w:tcW w:type="dxa" w:w="2448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Install referrer</w:t>
            </w:r>
          </w:p>
        </w:tc>
        <w:tc>
          <w:tcPr>
            <w:tcW w:type="dxa" w:w="6768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Reads Google Play Install Referrer safely and sends first-open attribution signals.</w:t>
            </w:r>
          </w:p>
        </w:tc>
      </w:tr>
      <w:tr>
        <w:tc>
          <w:tcPr>
            <w:tcW w:type="dxa" w:w="2448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Smart links</w:t>
            </w:r>
          </w:p>
        </w:tc>
        <w:tc>
          <w:tcPr>
            <w:tcW w:type="dxa" w:w="6768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Creates campaign links, redirects, fallback routes, QR links, and smart banners.</w:t>
            </w:r>
          </w:p>
        </w:tc>
      </w:tr>
      <w:tr>
        <w:tc>
          <w:tcPr>
            <w:tcW w:type="dxa" w:w="2448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Deferred deep links</w:t>
            </w:r>
          </w:p>
        </w:tc>
        <w:tc>
          <w:tcPr>
            <w:tcW w:type="dxa" w:w="6768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Resolves post-install destination from click/referrer/matching evidence.</w:t>
            </w:r>
          </w:p>
        </w:tc>
      </w:tr>
      <w:tr>
        <w:tc>
          <w:tcPr>
            <w:tcW w:type="dxa" w:w="2448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Evidence timeline</w:t>
            </w:r>
          </w:p>
        </w:tc>
        <w:tc>
          <w:tcPr>
            <w:tcW w:type="dxa" w:w="6768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Shows click time, install time, referrer, campaign, source, IP/user-agent signals, confidence, fraud score, and final decision.</w:t>
            </w:r>
          </w:p>
        </w:tc>
      </w:tr>
      <w:tr>
        <w:tc>
          <w:tcPr>
            <w:tcW w:type="dxa" w:w="2448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Partner framework</w:t>
            </w:r>
          </w:p>
        </w:tc>
        <w:tc>
          <w:tcPr>
            <w:tcW w:type="dxa" w:w="6768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Foundation for Google Ads, Meta, TikTok, OEM/preload, and postback integrations.</w:t>
            </w:r>
          </w:p>
        </w:tc>
      </w:tr>
      <w:tr>
        <w:tc>
          <w:tcPr>
            <w:tcW w:type="dxa" w:w="2448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Fraud signals</w:t>
            </w:r>
          </w:p>
        </w:tc>
        <w:tc>
          <w:tcPr>
            <w:tcW w:type="dxa" w:w="6768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Click spam, injection timing, duplicate installs, device farm signals, and confidence scoring foundation.</w:t>
            </w:r>
          </w:p>
        </w:tc>
      </w:tr>
    </w:tbl>
    <w:p/>
    <w:p>
      <w:r>
        <w:br w:type="page"/>
      </w:r>
    </w:p>
    <w:p>
      <w:pPr>
        <w:pStyle w:val="Heading1"/>
      </w:pPr>
      <w:r>
        <w:t>8. Engagement: Push, In-App, Journeys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2592"/>
            <w:shd w:fill="E8EEF5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020617"/>
                <w:sz w:val="19"/>
              </w:rPr>
              <w:t>Capability</w:t>
            </w:r>
          </w:p>
        </w:tc>
        <w:tc>
          <w:tcPr>
            <w:tcW w:type="dxa" w:w="6624"/>
            <w:shd w:fill="E8EEF5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020617"/>
                <w:sz w:val="19"/>
              </w:rPr>
              <w:t>Details</w:t>
            </w:r>
          </w:p>
        </w:tc>
      </w:tr>
      <w:tr>
        <w:tc>
          <w:tcPr>
            <w:tcW w:type="dxa" w:w="2592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Push campaigns</w:t>
            </w:r>
          </w:p>
        </w:tc>
        <w:tc>
          <w:tcPr>
            <w:tcW w:type="dxa" w:w="6624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FCM provider abstraction, encrypted tokens, retries, throttling, quiet hours, frequency caps, queueing, dry run, and delivery analytics.</w:t>
            </w:r>
          </w:p>
        </w:tc>
      </w:tr>
      <w:tr>
        <w:tc>
          <w:tcPr>
            <w:tcW w:type="dxa" w:w="2592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In-app messaging</w:t>
            </w:r>
          </w:p>
        </w:tc>
        <w:tc>
          <w:tcPr>
            <w:tcW w:type="dxa" w:w="6624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Modal, banner, fullscreen, bottom sheet, coach mark, templates, triggers, targeting, variants, and conversion goals.</w:t>
            </w:r>
          </w:p>
        </w:tc>
      </w:tr>
      <w:tr>
        <w:tc>
          <w:tcPr>
            <w:tcW w:type="dxa" w:w="2592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Journeys</w:t>
            </w:r>
          </w:p>
        </w:tc>
        <w:tc>
          <w:tcPr>
            <w:tcW w:type="dxa" w:w="6624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Visual journey canvas, trigger/condition/wait/split/experiment/webhook/push/in-app nodes, approvals, versioning, simulation, and node analytics.</w:t>
            </w:r>
          </w:p>
        </w:tc>
      </w:tr>
      <w:tr>
        <w:tc>
          <w:tcPr>
            <w:tcW w:type="dxa" w:w="2592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Cross-channel orchestration</w:t>
            </w:r>
          </w:p>
        </w:tc>
        <w:tc>
          <w:tcPr>
            <w:tcW w:type="dxa" w:w="6624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Push to in-app to email/webhook/WhatsApp/SMS-ready fallback logic.</w:t>
            </w:r>
          </w:p>
        </w:tc>
      </w:tr>
      <w:tr>
        <w:tc>
          <w:tcPr>
            <w:tcW w:type="dxa" w:w="2592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AI engagement scoring</w:t>
            </w:r>
          </w:p>
        </w:tc>
        <w:tc>
          <w:tcPr>
            <w:tcW w:type="dxa" w:w="6624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Fatigue, open prediction, conversion prediction, and send-time recommendations using deterministic scoring.</w:t>
            </w:r>
          </w:p>
        </w:tc>
      </w:tr>
    </w:tbl>
    <w:p/>
    <w:p>
      <w:r>
        <w:br w:type="page"/>
      </w:r>
    </w:p>
    <w:p>
      <w:pPr>
        <w:pStyle w:val="Heading1"/>
      </w:pPr>
      <w:r>
        <w:t>9. Experience Builder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2736"/>
            <w:shd w:fill="E8EEF5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020617"/>
                <w:sz w:val="19"/>
              </w:rPr>
              <w:t>Experience Type</w:t>
            </w:r>
          </w:p>
        </w:tc>
        <w:tc>
          <w:tcPr>
            <w:tcW w:type="dxa" w:w="6480"/>
            <w:shd w:fill="E8EEF5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020617"/>
                <w:sz w:val="19"/>
              </w:rPr>
              <w:t>Example Use Case</w:t>
            </w:r>
          </w:p>
        </w:tc>
      </w:tr>
      <w:tr>
        <w:tc>
          <w:tcPr>
            <w:tcW w:type="dxa" w:w="2736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Banner</w:t>
            </w:r>
          </w:p>
        </w:tc>
        <w:tc>
          <w:tcPr>
            <w:tcW w:type="dxa" w:w="6480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Travel fare drop alert on flight search results.</w:t>
            </w:r>
          </w:p>
        </w:tc>
      </w:tr>
      <w:tr>
        <w:tc>
          <w:tcPr>
            <w:tcW w:type="dxa" w:w="2736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Bottom sheet</w:t>
            </w:r>
          </w:p>
        </w:tc>
        <w:tc>
          <w:tcPr>
            <w:tcW w:type="dxa" w:w="6480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Cart recovery coupon or booking reminder.</w:t>
            </w:r>
          </w:p>
        </w:tc>
      </w:tr>
      <w:tr>
        <w:tc>
          <w:tcPr>
            <w:tcW w:type="dxa" w:w="2736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Tooltip / coach mark</w:t>
            </w:r>
          </w:p>
        </w:tc>
        <w:tc>
          <w:tcPr>
            <w:tcW w:type="dxa" w:w="6480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KYC reminder on wallet screen.</w:t>
            </w:r>
          </w:p>
        </w:tc>
      </w:tr>
      <w:tr>
        <w:tc>
          <w:tcPr>
            <w:tcW w:type="dxa" w:w="2736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Recommendation card</w:t>
            </w:r>
          </w:p>
        </w:tc>
        <w:tc>
          <w:tcPr>
            <w:tcW w:type="dxa" w:w="6480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Repeat order, fare drop, product recommendation, or payment reminder.</w:t>
            </w:r>
          </w:p>
        </w:tc>
      </w:tr>
      <w:tr>
        <w:tc>
          <w:tcPr>
            <w:tcW w:type="dxa" w:w="2736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Survey / NPS</w:t>
            </w:r>
          </w:p>
        </w:tc>
        <w:tc>
          <w:tcPr>
            <w:tcW w:type="dxa" w:w="6480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Post-order rating and feedback collection.</w:t>
            </w:r>
          </w:p>
        </w:tc>
      </w:tr>
      <w:tr>
        <w:tc>
          <w:tcPr>
            <w:tcW w:type="dxa" w:w="2736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Onboarding checklist</w:t>
            </w:r>
          </w:p>
        </w:tc>
        <w:tc>
          <w:tcPr>
            <w:tcW w:type="dxa" w:w="6480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Product adoption flow and guided setup.</w:t>
            </w:r>
          </w:p>
        </w:tc>
      </w:tr>
      <w:tr>
        <w:tc>
          <w:tcPr>
            <w:tcW w:type="dxa" w:w="2736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Embedded native card</w:t>
            </w:r>
          </w:p>
        </w:tc>
        <w:tc>
          <w:tcPr>
            <w:tcW w:type="dxa" w:w="6480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Remote-controlled Android UI block inside app layout.</w:t>
            </w:r>
          </w:p>
        </w:tc>
      </w:tr>
    </w:tbl>
    <w:p/>
    <w:p>
      <w:pPr>
        <w:pStyle w:val="ListNumber"/>
        <w:spacing w:after="60"/>
      </w:pPr>
      <w:r>
        <w:t>Create or choose a template in the dashboard.</w:t>
      </w:r>
    </w:p>
    <w:p>
      <w:pPr>
        <w:pStyle w:val="ListNumber"/>
        <w:spacing w:after="60"/>
      </w:pPr>
      <w:r>
        <w:t>Configure layout: title, message, image, CTA, colors, placement, animation, dismiss behavior, dark mode.</w:t>
      </w:r>
    </w:p>
    <w:p>
      <w:pPr>
        <w:pStyle w:val="ListNumber"/>
        <w:spacing w:after="60"/>
      </w:pPr>
      <w:r>
        <w:t>Configure targeting and trigger rules: screen, event history, properties, segment, app version, country, revenue/LTV, AI scores.</w:t>
      </w:r>
    </w:p>
    <w:p>
      <w:pPr>
        <w:pStyle w:val="ListNumber"/>
        <w:spacing w:after="60"/>
      </w:pPr>
      <w:r>
        <w:t>Set frequency caps, variants, schedule, approval, and publish state.</w:t>
      </w:r>
    </w:p>
    <w:p>
      <w:pPr>
        <w:pStyle w:val="ListNumber"/>
        <w:spacing w:after="60"/>
      </w:pPr>
      <w:r>
        <w:t>SDK syncs active experiences, matches locally, renders safely, and tracks impression/click/dismiss/conversion.</w:t>
      </w:r>
    </w:p>
    <w:p>
      <w:r>
        <w:br w:type="page"/>
      </w:r>
    </w:p>
    <w:p>
      <w:pPr>
        <w:pStyle w:val="Heading1"/>
      </w:pPr>
      <w:r>
        <w:t>10. Customer Behavior And User Profiles</w:t>
      </w:r>
    </w:p>
    <w:p>
      <w:pPr>
        <w:pStyle w:val="ListBullet"/>
        <w:spacing w:after="60"/>
      </w:pPr>
      <w:r>
        <w:t>Profiles combine anonymous and known user activity where identity evidence exists.</w:t>
      </w:r>
    </w:p>
    <w:p>
      <w:pPr>
        <w:pStyle w:val="ListBullet"/>
        <w:spacing w:after="60"/>
      </w:pPr>
      <w:r>
        <w:t>Client teams can search users, inspect events, screens, sessions, revenue, campaign exposure, push token status, and app version.</w:t>
      </w:r>
    </w:p>
    <w:p>
      <w:pPr>
        <w:pStyle w:val="ListBullet"/>
        <w:spacing w:after="60"/>
      </w:pPr>
      <w:r>
        <w:t>Identity resolution should show merge evidence and avoid double-counting the same person across anonymous and logged-in events.</w:t>
      </w:r>
    </w:p>
    <w:p>
      <w:pPr>
        <w:pStyle w:val="ListBullet"/>
        <w:spacing w:after="60"/>
      </w:pPr>
      <w:r>
        <w:t>Customer 360 APIs are intended for support, growth, personalization, and export workflows.</w:t>
      </w:r>
    </w:p>
    <w:p>
      <w:r>
        <w:br w:type="page"/>
      </w:r>
    </w:p>
    <w:p>
      <w:pPr>
        <w:pStyle w:val="Heading1"/>
      </w:pPr>
      <w:r>
        <w:t>11. Uninstall Tracking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1152"/>
            <w:shd w:fill="E8EEF5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020617"/>
                <w:sz w:val="19"/>
              </w:rPr>
              <w:t>Step</w:t>
            </w:r>
          </w:p>
        </w:tc>
        <w:tc>
          <w:tcPr>
            <w:tcW w:type="dxa" w:w="8064"/>
            <w:shd w:fill="E8EEF5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020617"/>
                <w:sz w:val="19"/>
              </w:rPr>
              <w:t>Requirement</w:t>
            </w:r>
          </w:p>
        </w:tc>
      </w:tr>
      <w:tr>
        <w:tc>
          <w:tcPr>
            <w:tcW w:type="dxa" w:w="1152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1</w:t>
            </w:r>
          </w:p>
        </w:tc>
        <w:tc>
          <w:tcPr>
            <w:tcW w:type="dxa" w:w="8064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Android app includes Firebase Messaging dependency and FCM configuration.</w:t>
            </w:r>
          </w:p>
        </w:tc>
      </w:tr>
      <w:tr>
        <w:tc>
          <w:tcPr>
            <w:tcW w:type="dxa" w:w="1152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2</w:t>
            </w:r>
          </w:p>
        </w:tc>
        <w:tc>
          <w:tcPr>
            <w:tcW w:type="dxa" w:w="8064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SDK registers push token after consent, or app calls Atryvo.setPushToken(token, "fcm").</w:t>
            </w:r>
          </w:p>
        </w:tc>
      </w:tr>
      <w:tr>
        <w:tc>
          <w:tcPr>
            <w:tcW w:type="dxa" w:w="1152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3</w:t>
            </w:r>
          </w:p>
        </w:tc>
        <w:tc>
          <w:tcPr>
            <w:tcW w:type="dxa" w:w="8064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Server has FCM_PROJECT_ID and FCM_SERVICE_ACCOUNT_JSON or FCM_SERVER_KEY configured.</w:t>
            </w:r>
          </w:p>
        </w:tc>
      </w:tr>
      <w:tr>
        <w:tc>
          <w:tcPr>
            <w:tcW w:type="dxa" w:w="1152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4</w:t>
            </w:r>
          </w:p>
        </w:tc>
        <w:tc>
          <w:tcPr>
            <w:tcW w:type="dxa" w:w="8064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Atryvo creates validation jobs on a configured interval, default 30 minutes.</w:t>
            </w:r>
          </w:p>
        </w:tc>
      </w:tr>
      <w:tr>
        <w:tc>
          <w:tcPr>
            <w:tcW w:type="dxa" w:w="1152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5</w:t>
            </w:r>
          </w:p>
        </w:tc>
        <w:tc>
          <w:tcPr>
            <w:tcW w:type="dxa" w:w="8064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Invalid/permanent FCM token response records an uninstall signal and optional alert.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FEF3C7"/>
          </w:tcPr>
          <w:p>
            <w:pPr>
              <w:spacing w:after="40"/>
            </w:pPr>
            <w:r>
              <w:rPr>
                <w:b/>
                <w:color w:val="020617"/>
                <w:sz w:val="21"/>
              </w:rPr>
              <w:t>Important</w:t>
            </w:r>
          </w:p>
          <w:p>
            <w:pPr>
              <w:spacing w:after="0"/>
            </w:pPr>
            <w:r>
              <w:rPr>
                <w:color w:val="334155"/>
                <w:sz w:val="19"/>
              </w:rPr>
              <w:t>Uninstall detection is not instant. Android uninstall is inferred through FCM token invalidation after a validation/probe job.</w:t>
            </w:r>
          </w:p>
        </w:tc>
      </w:tr>
    </w:tbl>
    <w:p/>
    <w:p>
      <w:r>
        <w:br w:type="page"/>
      </w:r>
    </w:p>
    <w:p>
      <w:pPr>
        <w:pStyle w:val="Heading1"/>
      </w:pPr>
      <w:r>
        <w:t>12. Revenue, Funnels, Cohorts, LTV</w:t>
      </w:r>
    </w:p>
    <w:p>
      <w:pPr>
        <w:pStyle w:val="ListBullet"/>
        <w:spacing w:after="60"/>
      </w:pPr>
      <w:r>
        <w:t>Revenue is confirmed purchase/payment value, not searched fare or quoted fare.</w:t>
      </w:r>
    </w:p>
    <w:p>
      <w:pPr>
        <w:pStyle w:val="ListBullet"/>
        <w:spacing w:after="60"/>
      </w:pPr>
      <w:r>
        <w:t>Refunds, order ID dedupe, currency, validation status, and attribution source support revenue integrity.</w:t>
      </w:r>
    </w:p>
    <w:p>
      <w:pPr>
        <w:pStyle w:val="ListBullet"/>
        <w:spacing w:after="60"/>
      </w:pPr>
      <w:r>
        <w:t>Funnels show step conversion, drop-off, source/device breakdown, and recommendation signals.</w:t>
      </w:r>
    </w:p>
    <w:p>
      <w:pPr>
        <w:pStyle w:val="ListBullet"/>
        <w:spacing w:after="60"/>
      </w:pPr>
      <w:r>
        <w:t>Cohorts and LTV group users by first activity, source, campaign, payer status, and revenue trajectory.</w:t>
      </w:r>
    </w:p>
    <w:p>
      <w:r>
        <w:br w:type="page"/>
      </w:r>
    </w:p>
    <w:p>
      <w:pPr>
        <w:pStyle w:val="Heading1"/>
      </w:pPr>
      <w:r>
        <w:t>13. AI Growth Intelligence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EFF6FF"/>
          </w:tcPr>
          <w:p>
            <w:pPr>
              <w:spacing w:after="40"/>
            </w:pPr>
            <w:r>
              <w:rPr>
                <w:b/>
                <w:color w:val="020617"/>
                <w:sz w:val="21"/>
              </w:rPr>
              <w:t>Current AI truth</w:t>
            </w:r>
          </w:p>
          <w:p>
            <w:pPr>
              <w:spacing w:after="0"/>
            </w:pPr>
            <w:r>
              <w:rPr>
                <w:color w:val="334155"/>
                <w:sz w:val="19"/>
              </w:rPr>
              <w:t>Atryvo currently includes deterministic AI-style intelligence, scoring, and ML-ready foundations. External LLM AI is not active unless an OpenAI/Gemini/Claude key is configured.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2448"/>
            <w:shd w:fill="E8EEF5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020617"/>
                <w:sz w:val="19"/>
              </w:rPr>
              <w:t>Area</w:t>
            </w:r>
          </w:p>
        </w:tc>
        <w:tc>
          <w:tcPr>
            <w:tcW w:type="dxa" w:w="6768"/>
            <w:shd w:fill="E8EEF5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020617"/>
                <w:sz w:val="19"/>
              </w:rPr>
              <w:t>Current Implementation</w:t>
            </w:r>
          </w:p>
        </w:tc>
      </w:tr>
      <w:tr>
        <w:tc>
          <w:tcPr>
            <w:tcW w:type="dxa" w:w="2448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Growth Copilot</w:t>
            </w:r>
          </w:p>
        </w:tc>
        <w:tc>
          <w:tcPr>
            <w:tcW w:type="dxa" w:w="6768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Explains changes, suggests audiences, recommends fare-drop actions and best send windows.</w:t>
            </w:r>
          </w:p>
        </w:tc>
      </w:tr>
      <w:tr>
        <w:tc>
          <w:tcPr>
            <w:tcW w:type="dxa" w:w="2448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AI audience</w:t>
            </w:r>
          </w:p>
        </w:tc>
        <w:tc>
          <w:tcPr>
            <w:tcW w:type="dxa" w:w="6768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Creates behavior-based audiences such as searched route but did not book.</w:t>
            </w:r>
          </w:p>
        </w:tc>
      </w:tr>
      <w:tr>
        <w:tc>
          <w:tcPr>
            <w:tcW w:type="dxa" w:w="2448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Churn prediction</w:t>
            </w:r>
          </w:p>
        </w:tc>
        <w:tc>
          <w:tcPr>
            <w:tcW w:type="dxa" w:w="6768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Scores users using recent activity, sessions, conversion, and inactivity rules.</w:t>
            </w:r>
          </w:p>
        </w:tc>
      </w:tr>
      <w:tr>
        <w:tc>
          <w:tcPr>
            <w:tcW w:type="dxa" w:w="2448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Engagement intelligence</w:t>
            </w:r>
          </w:p>
        </w:tc>
        <w:tc>
          <w:tcPr>
            <w:tcW w:type="dxa" w:w="6768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Fatigue score, open prediction, conversion prediction, and send-time logic.</w:t>
            </w:r>
          </w:p>
        </w:tc>
      </w:tr>
      <w:tr>
        <w:tc>
          <w:tcPr>
            <w:tcW w:type="dxa" w:w="2448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ML foundation</w:t>
            </w:r>
          </w:p>
        </w:tc>
        <w:tc>
          <w:tcPr>
            <w:tcW w:type="dxa" w:w="6768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Feature store, model registry, training endpoint, prediction storage, and inference API scaffolding.</w:t>
            </w:r>
          </w:p>
        </w:tc>
      </w:tr>
      <w:tr>
        <w:tc>
          <w:tcPr>
            <w:tcW w:type="dxa" w:w="2448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LLM future</w:t>
            </w:r>
          </w:p>
        </w:tc>
        <w:tc>
          <w:tcPr>
            <w:tcW w:type="dxa" w:w="6768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Natural language query, copy generation, journey builder assistant, funnel diagnosis, and client support assistant after API key configuration.</w:t>
            </w:r>
          </w:p>
        </w:tc>
      </w:tr>
    </w:tbl>
    <w:p/>
    <w:p>
      <w:r>
        <w:br w:type="page"/>
      </w:r>
    </w:p>
    <w:p>
      <w:pPr>
        <w:pStyle w:val="Heading1"/>
      </w:pPr>
      <w:r>
        <w:t>14. Data Platform And Integrations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2304"/>
            <w:shd w:fill="E8EEF5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020617"/>
                <w:sz w:val="19"/>
              </w:rPr>
              <w:t>Layer</w:t>
            </w:r>
          </w:p>
        </w:tc>
        <w:tc>
          <w:tcPr>
            <w:tcW w:type="dxa" w:w="6912"/>
            <w:shd w:fill="E8EEF5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020617"/>
                <w:sz w:val="19"/>
              </w:rPr>
              <w:t>Purpose</w:t>
            </w:r>
          </w:p>
        </w:tc>
      </w:tr>
      <w:tr>
        <w:tc>
          <w:tcPr>
            <w:tcW w:type="dxa" w:w="2304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PostgreSQL</w:t>
            </w:r>
          </w:p>
        </w:tc>
        <w:tc>
          <w:tcPr>
            <w:tcW w:type="dxa" w:w="6912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Operational source of truth for users, workspaces, apps, API keys, events, installs, sessions, campaigns, and configs.</w:t>
            </w:r>
          </w:p>
        </w:tc>
      </w:tr>
      <w:tr>
        <w:tc>
          <w:tcPr>
            <w:tcW w:type="dxa" w:w="2304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Redpanda/Kafka</w:t>
            </w:r>
          </w:p>
        </w:tc>
        <w:tc>
          <w:tcPr>
            <w:tcW w:type="dxa" w:w="6912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Realtime event streaming and outbox architecture.</w:t>
            </w:r>
          </w:p>
        </w:tc>
      </w:tr>
      <w:tr>
        <w:tc>
          <w:tcPr>
            <w:tcW w:type="dxa" w:w="2304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ClickHouse</w:t>
            </w:r>
          </w:p>
        </w:tc>
        <w:tc>
          <w:tcPr>
            <w:tcW w:type="dxa" w:w="6912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Analytics-ready high-volume event reporting foundation.</w:t>
            </w:r>
          </w:p>
        </w:tc>
      </w:tr>
      <w:tr>
        <w:tc>
          <w:tcPr>
            <w:tcW w:type="dxa" w:w="2304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Webhooks</w:t>
            </w:r>
          </w:p>
        </w:tc>
        <w:tc>
          <w:tcPr>
            <w:tcW w:type="dxa" w:w="6912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Signed event/postback delivery with retry worker and delivery logs.</w:t>
            </w:r>
          </w:p>
        </w:tc>
      </w:tr>
      <w:tr>
        <w:tc>
          <w:tcPr>
            <w:tcW w:type="dxa" w:w="2304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Raw exports</w:t>
            </w:r>
          </w:p>
        </w:tc>
        <w:tc>
          <w:tcPr>
            <w:tcW w:type="dxa" w:w="6912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CSV export, scheduled export jobs, and S3/GCS/BigQuery/Snowflake connector foundation.</w:t>
            </w:r>
          </w:p>
        </w:tc>
      </w:tr>
      <w:tr>
        <w:tc>
          <w:tcPr>
            <w:tcW w:type="dxa" w:w="2304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Observability</w:t>
            </w:r>
          </w:p>
        </w:tc>
        <w:tc>
          <w:tcPr>
            <w:tcW w:type="dxa" w:w="6912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OpenTelemetry, Prometheus, Grafana, metrics, queue status, and health endpoints.</w:t>
            </w:r>
          </w:p>
        </w:tc>
      </w:tr>
    </w:tbl>
    <w:p/>
    <w:p>
      <w:r>
        <w:br w:type="page"/>
      </w:r>
    </w:p>
    <w:p>
      <w:pPr>
        <w:pStyle w:val="Heading1"/>
      </w:pPr>
      <w:r>
        <w:t>15. Privacy, Consent, Security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2448"/>
            <w:shd w:fill="E8EEF5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020617"/>
                <w:sz w:val="19"/>
              </w:rPr>
              <w:t>Control</w:t>
            </w:r>
          </w:p>
        </w:tc>
        <w:tc>
          <w:tcPr>
            <w:tcW w:type="dxa" w:w="6768"/>
            <w:shd w:fill="E8EEF5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020617"/>
                <w:sz w:val="19"/>
              </w:rPr>
              <w:t>Details</w:t>
            </w:r>
          </w:p>
        </w:tc>
      </w:tr>
      <w:tr>
        <w:tc>
          <w:tcPr>
            <w:tcW w:type="dxa" w:w="2448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Consent</w:t>
            </w:r>
          </w:p>
        </w:tc>
        <w:tc>
          <w:tcPr>
            <w:tcW w:type="dxa" w:w="6768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Tracking and advertising ID collection respect consent state.</w:t>
            </w:r>
          </w:p>
        </w:tc>
      </w:tr>
      <w:tr>
        <w:tc>
          <w:tcPr>
            <w:tcW w:type="dxa" w:w="2448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Sensitive data filtering</w:t>
            </w:r>
          </w:p>
        </w:tc>
        <w:tc>
          <w:tcPr>
            <w:tcW w:type="dxa" w:w="6768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Blocks common sensitive keys and avoids automatic input value collection.</w:t>
            </w:r>
          </w:p>
        </w:tc>
      </w:tr>
      <w:tr>
        <w:tc>
          <w:tcPr>
            <w:tcW w:type="dxa" w:w="2448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API key security</w:t>
            </w:r>
          </w:p>
        </w:tc>
        <w:tc>
          <w:tcPr>
            <w:tcW w:type="dxa" w:w="6768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Keys are stored hashed; prefixes are shown for identification.</w:t>
            </w:r>
          </w:p>
        </w:tc>
      </w:tr>
      <w:tr>
        <w:tc>
          <w:tcPr>
            <w:tcW w:type="dxa" w:w="2448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Secret management</w:t>
            </w:r>
          </w:p>
        </w:tc>
        <w:tc>
          <w:tcPr>
            <w:tcW w:type="dxa" w:w="6768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Production supports GCP Secret Manager/Vault/cloud secret references.</w:t>
            </w:r>
          </w:p>
        </w:tc>
      </w:tr>
      <w:tr>
        <w:tc>
          <w:tcPr>
            <w:tcW w:type="dxa" w:w="2448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RBAC</w:t>
            </w:r>
          </w:p>
        </w:tc>
        <w:tc>
          <w:tcPr>
            <w:tcW w:type="dxa" w:w="6768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Admin, Agent, Client roles plus workspace-level permissions and audit logs.</w:t>
            </w:r>
          </w:p>
        </w:tc>
      </w:tr>
      <w:tr>
        <w:tc>
          <w:tcPr>
            <w:tcW w:type="dxa" w:w="2448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Compliance</w:t>
            </w:r>
          </w:p>
        </w:tc>
        <w:tc>
          <w:tcPr>
            <w:tcW w:type="dxa" w:w="6768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GDPR/CCPA workflows, delete/export/opt-out, retention settings, data residency foundation.</w:t>
            </w:r>
          </w:p>
        </w:tc>
      </w:tr>
      <w:tr>
        <w:tc>
          <w:tcPr>
            <w:tcW w:type="dxa" w:w="2448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MFA/SSO readiness</w:t>
            </w:r>
          </w:p>
        </w:tc>
        <w:tc>
          <w:tcPr>
            <w:tcW w:type="dxa" w:w="6768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MFA, SSO/SAML/OIDC, SCIM, audit export, and policy docs are enterprise readiness areas.</w:t>
            </w:r>
          </w:p>
        </w:tc>
      </w:tr>
    </w:tbl>
    <w:p/>
    <w:p>
      <w:r>
        <w:br w:type="page"/>
      </w:r>
    </w:p>
    <w:p>
      <w:pPr>
        <w:pStyle w:val="Heading1"/>
      </w:pPr>
      <w:r>
        <w:t>16. Admin, Agent, And Workspace Management</w:t>
      </w:r>
    </w:p>
    <w:p>
      <w:pPr>
        <w:pStyle w:val="ListBullet"/>
        <w:spacing w:after="60"/>
      </w:pPr>
      <w:r>
        <w:t>Admin can manage all clients, users, apps, plans, workspace status, and audit logs.</w:t>
      </w:r>
    </w:p>
    <w:p>
      <w:pPr>
        <w:pStyle w:val="ListBullet"/>
        <w:spacing w:after="60"/>
      </w:pPr>
      <w:r>
        <w:t>Agent should see only assigned or created workspaces.</w:t>
      </w:r>
    </w:p>
    <w:p>
      <w:pPr>
        <w:pStyle w:val="ListBullet"/>
        <w:spacing w:after="60"/>
      </w:pPr>
      <w:r>
        <w:t>Client should see only their own workspace and enrolled apps.</w:t>
      </w:r>
    </w:p>
    <w:p>
      <w:pPr>
        <w:pStyle w:val="ListBullet"/>
        <w:spacing w:after="60"/>
      </w:pPr>
      <w:r>
        <w:t>Admin should see which agent created or owns a workspace and how many clients each agent supports.</w:t>
      </w:r>
    </w:p>
    <w:p>
      <w:pPr>
        <w:pStyle w:val="ListBullet"/>
        <w:spacing w:after="60"/>
      </w:pPr>
      <w:r>
        <w:t>Deactivated workspace should be visibly locked and should block actions until reactivated.</w:t>
      </w:r>
    </w:p>
    <w:p>
      <w:r>
        <w:br w:type="page"/>
      </w:r>
    </w:p>
    <w:p>
      <w:pPr>
        <w:pStyle w:val="Heading1"/>
      </w:pPr>
      <w:r>
        <w:t>17. Deployment And Operations</w:t>
      </w:r>
    </w:p>
    <w:p>
      <w:pPr>
        <w:pStyle w:val="ListNumber"/>
        <w:spacing w:after="60"/>
      </w:pPr>
      <w:r>
        <w:t>Push code to GitHub main branch.</w:t>
      </w:r>
    </w:p>
    <w:p>
      <w:pPr>
        <w:pStyle w:val="ListNumber"/>
        <w:spacing w:after="60"/>
      </w:pPr>
      <w:r>
        <w:t>GitHub Actions builds/tests and deploys to VPS, or operator runs Docker Compose manually.</w:t>
      </w:r>
    </w:p>
    <w:p>
      <w:pPr>
        <w:pStyle w:val="ListNumber"/>
        <w:spacing w:after="60"/>
      </w:pPr>
      <w:r>
        <w:t>Caddy routes atryvo.com and www.atryvo.com to dashboard on 127.0.0.1:8080.</w:t>
      </w:r>
    </w:p>
    <w:p>
      <w:pPr>
        <w:pStyle w:val="ListNumber"/>
        <w:spacing w:after="60"/>
      </w:pPr>
      <w:r>
        <w:t>Dashboard proxies /api to backend on 127.0.0.1:3000.</w:t>
      </w:r>
    </w:p>
    <w:p>
      <w:pPr>
        <w:pStyle w:val="ListNumber"/>
        <w:spacing w:after="60"/>
      </w:pPr>
      <w:r>
        <w:t>Backend uses Postgres, Redpanda, ClickHouse, OpenTelemetry, and optional GCP Secret Manager.</w:t>
      </w:r>
    </w:p>
    <w:p>
      <w:r>
        <w:t>Common production check: curl https://atryvo.com/api/readyz should return ok=true, database=ok, kafkaConfigured=true, clickHouseConfigured=true, otelConfigured=true, secretManagerConfigured=true.</w:t>
      </w:r>
    </w:p>
    <w:p>
      <w:r>
        <w:br w:type="page"/>
      </w:r>
    </w:p>
    <w:p>
      <w:pPr>
        <w:pStyle w:val="Heading1"/>
      </w:pPr>
      <w:r>
        <w:t>18. Client Implementation Checklist</w:t>
      </w:r>
    </w:p>
    <w:p>
      <w:pPr>
        <w:pStyle w:val="ListBullet"/>
        <w:spacing w:after="60"/>
      </w:pPr>
      <w:r>
        <w:t>Create or assign client workspace.</w:t>
      </w:r>
    </w:p>
    <w:p>
      <w:pPr>
        <w:pStyle w:val="ListBullet"/>
        <w:spacing w:after="60"/>
      </w:pPr>
      <w:r>
        <w:t>Create Android app with correct package name.</w:t>
      </w:r>
    </w:p>
    <w:p>
      <w:pPr>
        <w:pStyle w:val="ListBullet"/>
        <w:spacing w:after="60"/>
      </w:pPr>
      <w:r>
        <w:t>Generate production API key.</w:t>
      </w:r>
    </w:p>
    <w:p>
      <w:pPr>
        <w:pStyle w:val="ListBullet"/>
        <w:spacing w:after="60"/>
      </w:pPr>
      <w:r>
        <w:t>Integrate SDK via Maven or AAR.</w:t>
      </w:r>
    </w:p>
    <w:p>
      <w:pPr>
        <w:pStyle w:val="ListBullet"/>
        <w:spacing w:after="60"/>
      </w:pPr>
      <w:r>
        <w:t>Set production baseUrl to https://atryvo.com.</w:t>
      </w:r>
    </w:p>
    <w:p>
      <w:pPr>
        <w:pStyle w:val="ListBullet"/>
        <w:spacing w:after="60"/>
      </w:pPr>
      <w:r>
        <w:t>Initialize SDK in Application class.</w:t>
      </w:r>
    </w:p>
    <w:p>
      <w:pPr>
        <w:pStyle w:val="ListBullet"/>
        <w:spacing w:after="60"/>
      </w:pPr>
      <w:r>
        <w:t>Set consent when user agrees.</w:t>
      </w:r>
    </w:p>
    <w:p>
      <w:pPr>
        <w:pStyle w:val="ListBullet"/>
        <w:spacing w:after="60"/>
      </w:pPr>
      <w:r>
        <w:t>Set customer user ID after login.</w:t>
      </w:r>
    </w:p>
    <w:p>
      <w:pPr>
        <w:pStyle w:val="ListBullet"/>
        <w:spacing w:after="60"/>
      </w:pPr>
      <w:r>
        <w:t>Track business events: search, booking started, payment started, payment success/failure, purchase.</w:t>
      </w:r>
    </w:p>
    <w:p>
      <w:pPr>
        <w:pStyle w:val="ListBullet"/>
        <w:spacing w:after="60"/>
      </w:pPr>
      <w:r>
        <w:t>Verify events, screens, sessions, SDK health, push token, and uninstall readiness in portal.</w:t>
      </w:r>
    </w:p>
    <w:p>
      <w:pPr>
        <w:pStyle w:val="ListBullet"/>
        <w:spacing w:after="60"/>
      </w:pPr>
      <w:r>
        <w:t>Run fresh install test after resetting test data if exact count validation is required.</w:t>
      </w:r>
    </w:p>
    <w:p>
      <w:r>
        <w:br w:type="page"/>
      </w:r>
    </w:p>
    <w:p>
      <w:pPr>
        <w:pStyle w:val="Heading1"/>
      </w:pPr>
      <w:r>
        <w:t>19. Troubleshooting Guide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12"/>
        <w:gridCol w:w="3312"/>
        <w:gridCol w:w="3312"/>
      </w:tblGrid>
      <w:tr>
        <w:tc>
          <w:tcPr>
            <w:tcW w:type="dxa" w:w="2160"/>
            <w:shd w:fill="E8EEF5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020617"/>
                <w:sz w:val="19"/>
              </w:rPr>
              <w:t>Issue</w:t>
            </w:r>
          </w:p>
        </w:tc>
        <w:tc>
          <w:tcPr>
            <w:tcW w:type="dxa" w:w="3456"/>
            <w:shd w:fill="E8EEF5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020617"/>
                <w:sz w:val="19"/>
              </w:rPr>
              <w:t>Likely Cause</w:t>
            </w:r>
          </w:p>
        </w:tc>
        <w:tc>
          <w:tcPr>
            <w:tcW w:type="dxa" w:w="3600"/>
            <w:shd w:fill="E8EEF5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020617"/>
                <w:sz w:val="19"/>
              </w:rPr>
              <w:t>Action</w:t>
            </w:r>
          </w:p>
        </w:tc>
      </w:tr>
      <w:tr>
        <w:tc>
          <w:tcPr>
            <w:tcW w:type="dxa" w:w="2160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No events</w:t>
            </w:r>
          </w:p>
        </w:tc>
        <w:tc>
          <w:tcPr>
            <w:tcW w:type="dxa" w:w="3456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Wrong API key, wrong app ID, consent false, baseUrl wrong, network blocked.</w:t>
            </w:r>
          </w:p>
        </w:tc>
        <w:tc>
          <w:tcPr>
            <w:tcW w:type="dxa" w:w="3600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Check SDK Health, API key prefix, app ID, baseUrl, logs.</w:t>
            </w:r>
          </w:p>
        </w:tc>
      </w:tr>
      <w:tr>
        <w:tc>
          <w:tcPr>
            <w:tcW w:type="dxa" w:w="2160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Live user double count</w:t>
            </w:r>
          </w:p>
        </w:tc>
        <w:tc>
          <w:tcPr>
            <w:tcW w:type="dxa" w:w="3456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Anonymous and logged-in IDs not stitched or stale historical data.</w:t>
            </w:r>
          </w:p>
        </w:tc>
        <w:tc>
          <w:tcPr>
            <w:tcW w:type="dxa" w:w="3600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Verify install ID/customer ID; reset test data for clean validation.</w:t>
            </w:r>
          </w:p>
        </w:tc>
      </w:tr>
      <w:tr>
        <w:tc>
          <w:tcPr>
            <w:tcW w:type="dxa" w:w="2160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Quoted fare wrong</w:t>
            </w:r>
          </w:p>
        </w:tc>
        <w:tc>
          <w:tcPr>
            <w:tcW w:type="dxa" w:w="3456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Non-quote click event sent price/fare.</w:t>
            </w:r>
          </w:p>
        </w:tc>
        <w:tc>
          <w:tcPr>
            <w:tcW w:type="dxa" w:w="3600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Use trusted quote event or set is_quote_event=true only on real quote payloads.</w:t>
            </w:r>
          </w:p>
        </w:tc>
      </w:tr>
      <w:tr>
        <w:tc>
          <w:tcPr>
            <w:tcW w:type="dxa" w:w="2160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Uninstall missing</w:t>
            </w:r>
          </w:p>
        </w:tc>
        <w:tc>
          <w:tcPr>
            <w:tcW w:type="dxa" w:w="3456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No FCM token or no server FCM credentials.</w:t>
            </w:r>
          </w:p>
        </w:tc>
        <w:tc>
          <w:tcPr>
            <w:tcW w:type="dxa" w:w="3600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Configure Firebase Messaging, register token, configure FCM JSON/server key, run validation.</w:t>
            </w:r>
          </w:p>
        </w:tc>
      </w:tr>
      <w:tr>
        <w:tc>
          <w:tcPr>
            <w:tcW w:type="dxa" w:w="2160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502 on website</w:t>
            </w:r>
          </w:p>
        </w:tc>
        <w:tc>
          <w:tcPr>
            <w:tcW w:type="dxa" w:w="3456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Backend/dashboard container down or Caddy reverse proxy wrong.</w:t>
            </w:r>
          </w:p>
        </w:tc>
        <w:tc>
          <w:tcPr>
            <w:tcW w:type="dxa" w:w="3600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Check docker compose ps/logs and Caddyfile proxy to 8080/3000.</w:t>
            </w:r>
          </w:p>
        </w:tc>
      </w:tr>
      <w:tr>
        <w:tc>
          <w:tcPr>
            <w:tcW w:type="dxa" w:w="2160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Secret manager false</w:t>
            </w:r>
          </w:p>
        </w:tc>
        <w:tc>
          <w:tcPr>
            <w:tcW w:type="dxa" w:w="3456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GCP service account, secret payload, env refs, or compose override not loaded.</w:t>
            </w:r>
          </w:p>
        </w:tc>
        <w:tc>
          <w:tcPr>
            <w:tcW w:type="dxa" w:w="3600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Verify readyz, mounted JSON, GCP project, secret JSON fields.</w:t>
            </w:r>
          </w:p>
        </w:tc>
      </w:tr>
    </w:tbl>
    <w:p/>
    <w:p>
      <w:r>
        <w:br w:type="page"/>
      </w:r>
    </w:p>
    <w:p>
      <w:pPr>
        <w:pStyle w:val="Heading1"/>
      </w:pPr>
      <w:r>
        <w:t>20. Roadmap And Enterprise Readiness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2448"/>
            <w:shd w:fill="E8EEF5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020617"/>
                <w:sz w:val="19"/>
              </w:rPr>
              <w:t>Area</w:t>
            </w:r>
          </w:p>
        </w:tc>
        <w:tc>
          <w:tcPr>
            <w:tcW w:type="dxa" w:w="6768"/>
            <w:shd w:fill="E8EEF5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020617"/>
                <w:sz w:val="19"/>
              </w:rPr>
              <w:t>Next Enterprise Step</w:t>
            </w:r>
          </w:p>
        </w:tc>
      </w:tr>
      <w:tr>
        <w:tc>
          <w:tcPr>
            <w:tcW w:type="dxa" w:w="2448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LLM AI</w:t>
            </w:r>
          </w:p>
        </w:tc>
        <w:tc>
          <w:tcPr>
            <w:tcW w:type="dxa" w:w="6768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Add OpenAI/Gemini provider for natural-language insights, campaign copy, audience builder, and support assistant.</w:t>
            </w:r>
          </w:p>
        </w:tc>
      </w:tr>
      <w:tr>
        <w:tc>
          <w:tcPr>
            <w:tcW w:type="dxa" w:w="2448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Certified partner attribution</w:t>
            </w:r>
          </w:p>
        </w:tc>
        <w:tc>
          <w:tcPr>
            <w:tcW w:type="dxa" w:w="6768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Google Ads, Meta, TikTok, OEM/preload certification and production postbacks.</w:t>
            </w:r>
          </w:p>
        </w:tc>
      </w:tr>
      <w:tr>
        <w:tc>
          <w:tcPr>
            <w:tcW w:type="dxa" w:w="2448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SSO/SCIM</w:t>
            </w:r>
          </w:p>
        </w:tc>
        <w:tc>
          <w:tcPr>
            <w:tcW w:type="dxa" w:w="6768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Full enterprise login provisioning and automated user lifecycle.</w:t>
            </w:r>
          </w:p>
        </w:tc>
      </w:tr>
      <w:tr>
        <w:tc>
          <w:tcPr>
            <w:tcW w:type="dxa" w:w="2448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SOC 2 readiness</w:t>
            </w:r>
          </w:p>
        </w:tc>
        <w:tc>
          <w:tcPr>
            <w:tcW w:type="dxa" w:w="6768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Evidence collection, access reviews, vendor reviews, incident drills, backup restore tests.</w:t>
            </w:r>
          </w:p>
        </w:tc>
      </w:tr>
      <w:tr>
        <w:tc>
          <w:tcPr>
            <w:tcW w:type="dxa" w:w="2448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Warehouse sync</w:t>
            </w:r>
          </w:p>
        </w:tc>
        <w:tc>
          <w:tcPr>
            <w:tcW w:type="dxa" w:w="6768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Production BigQuery/Snowflake sync with monitoring and replay.</w:t>
            </w:r>
          </w:p>
        </w:tc>
      </w:tr>
      <w:tr>
        <w:tc>
          <w:tcPr>
            <w:tcW w:type="dxa" w:w="2448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Mobile coverage</w:t>
            </w:r>
          </w:p>
        </w:tc>
        <w:tc>
          <w:tcPr>
            <w:tcW w:type="dxa" w:w="6768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Flutter, React Native, KMM, and iOS SDKs.</w:t>
            </w:r>
          </w:p>
        </w:tc>
      </w:tr>
      <w:tr>
        <w:tc>
          <w:tcPr>
            <w:tcW w:type="dxa" w:w="2448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Advanced ML</w:t>
            </w:r>
          </w:p>
        </w:tc>
        <w:tc>
          <w:tcPr>
            <w:tcW w:type="dxa" w:w="6768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Real training pipelines, feature store jobs, model evaluation, drift monitoring.</w:t>
            </w:r>
          </w:p>
        </w:tc>
      </w:tr>
    </w:tbl>
    <w:p/>
    <w:p>
      <w:pPr>
        <w:pStyle w:val="Heading1"/>
      </w:pPr>
      <w:r>
        <w:t>Appendix A. Suggested Client Sales Positioning</w:t>
      </w:r>
    </w:p>
    <w:p>
      <w:r>
        <w:t>Atryvo can be positioned as one Android-first growth platform for Indian travel, fintech, ecommerce, and food apps. It reduces tool fragmentation by combining analytics, attribution, engagement, deep links, no-code Android experiences, and data ownership in one implementation.</w:t>
      </w:r>
    </w:p>
    <w:p>
      <w:pPr>
        <w:pStyle w:val="ListBullet"/>
        <w:spacing w:after="60"/>
      </w:pPr>
      <w:r>
        <w:t>For product teams: understand customer behavior and app journeys.</w:t>
      </w:r>
    </w:p>
    <w:p>
      <w:pPr>
        <w:pStyle w:val="ListBullet"/>
        <w:spacing w:after="60"/>
      </w:pPr>
      <w:r>
        <w:t>For marketing teams: create audiences, campaigns, push, in-app, and no-code UI experiences.</w:t>
      </w:r>
    </w:p>
    <w:p>
      <w:pPr>
        <w:pStyle w:val="ListBullet"/>
        <w:spacing w:after="60"/>
      </w:pPr>
      <w:r>
        <w:t>For engineering teams: integrate one privacy-safe SDK instead of several vendor SDKs.</w:t>
      </w:r>
    </w:p>
    <w:p>
      <w:pPr>
        <w:pStyle w:val="ListBullet"/>
        <w:spacing w:after="60"/>
      </w:pPr>
      <w:r>
        <w:t>For leadership: control data, reduce vendor cost, and improve growth decision speed.</w:t>
      </w:r>
    </w:p>
    <w:p>
      <w:pPr>
        <w:pStyle w:val="Heading1"/>
      </w:pPr>
      <w:r>
        <w:t>Appendix B. Safe Event Naming Examples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3456"/>
            <w:shd w:fill="E8EEF5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020617"/>
                <w:sz w:val="19"/>
              </w:rPr>
              <w:t>Event</w:t>
            </w:r>
          </w:p>
        </w:tc>
        <w:tc>
          <w:tcPr>
            <w:tcW w:type="dxa" w:w="5760"/>
            <w:shd w:fill="E8EEF5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020617"/>
                <w:sz w:val="19"/>
              </w:rPr>
              <w:t>Use</w:t>
            </w:r>
          </w:p>
        </w:tc>
      </w:tr>
      <w:tr>
        <w:tc>
          <w:tcPr>
            <w:tcW w:type="dxa" w:w="3456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flight_search</w:t>
            </w:r>
          </w:p>
        </w:tc>
        <w:tc>
          <w:tcPr>
            <w:tcW w:type="dxa" w:w="5760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User searched route/date/passenger criteria.</w:t>
            </w:r>
          </w:p>
        </w:tc>
      </w:tr>
      <w:tr>
        <w:tc>
          <w:tcPr>
            <w:tcW w:type="dxa" w:w="3456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flight_search_results_loaded</w:t>
            </w:r>
          </w:p>
        </w:tc>
        <w:tc>
          <w:tcPr>
            <w:tcW w:type="dxa" w:w="5760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Search/listing quote result loaded; safe place for quoted_fare.</w:t>
            </w:r>
          </w:p>
        </w:tc>
      </w:tr>
      <w:tr>
        <w:tc>
          <w:tcPr>
            <w:tcW w:type="dxa" w:w="3456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booking_started</w:t>
            </w:r>
          </w:p>
        </w:tc>
        <w:tc>
          <w:tcPr>
            <w:tcW w:type="dxa" w:w="5760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User started booking flow.</w:t>
            </w:r>
          </w:p>
        </w:tc>
      </w:tr>
      <w:tr>
        <w:tc>
          <w:tcPr>
            <w:tcW w:type="dxa" w:w="3456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booking_payment_page_reached</w:t>
            </w:r>
          </w:p>
        </w:tc>
        <w:tc>
          <w:tcPr>
            <w:tcW w:type="dxa" w:w="5760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User reached payment page; can contain payable quote but not confirmed revenue.</w:t>
            </w:r>
          </w:p>
        </w:tc>
      </w:tr>
      <w:tr>
        <w:tc>
          <w:tcPr>
            <w:tcW w:type="dxa" w:w="3456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payment_success</w:t>
            </w:r>
          </w:p>
        </w:tc>
        <w:tc>
          <w:tcPr>
            <w:tcW w:type="dxa" w:w="5760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Confirmed revenue event.</w:t>
            </w:r>
          </w:p>
        </w:tc>
      </w:tr>
      <w:tr>
        <w:tc>
          <w:tcPr>
            <w:tcW w:type="dxa" w:w="3456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payment_failed</w:t>
            </w:r>
          </w:p>
        </w:tc>
        <w:tc>
          <w:tcPr>
            <w:tcW w:type="dxa" w:w="5760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Payment failure signal for funnel and AI analysis.</w:t>
            </w:r>
          </w:p>
        </w:tc>
      </w:tr>
      <w:tr>
        <w:tc>
          <w:tcPr>
            <w:tcW w:type="dxa" w:w="3456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purchase</w:t>
            </w:r>
          </w:p>
        </w:tc>
        <w:tc>
          <w:tcPr>
            <w:tcW w:type="dxa" w:w="5760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Confirmed purchase/revenue event.</w:t>
            </w:r>
          </w:p>
        </w:tc>
      </w:tr>
      <w:tr>
        <w:tc>
          <w:tcPr>
            <w:tcW w:type="dxa" w:w="3456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_screen_view</w:t>
            </w:r>
          </w:p>
        </w:tc>
        <w:tc>
          <w:tcPr>
            <w:tcW w:type="dxa" w:w="5760"/>
            <w:vAlign w:val="center"/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color w:val="020617"/>
                <w:sz w:val="19"/>
              </w:rPr>
              <w:t>Automatic/manual screen view.</w:t>
            </w:r>
          </w:p>
        </w:tc>
      </w:tr>
    </w:tbl>
    <w:p/>
    <w:p>
      <w:pPr>
        <w:pStyle w:val="Heading1"/>
      </w:pPr>
      <w:r>
        <w:t>Appendix C. Final Notes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ECFDF5"/>
          </w:tcPr>
          <w:p>
            <w:pPr>
              <w:spacing w:after="40"/>
            </w:pPr>
            <w:r>
              <w:rPr>
                <w:b/>
                <w:color w:val="020617"/>
                <w:sz w:val="21"/>
              </w:rPr>
              <w:t>Product truth</w:t>
            </w:r>
          </w:p>
          <w:p>
            <w:pPr>
              <w:spacing w:after="0"/>
            </w:pPr>
            <w:r>
              <w:rPr>
                <w:color w:val="334155"/>
                <w:sz w:val="19"/>
              </w:rPr>
              <w:t>Atryvo is strongest when the portal shows explainable, traceable metrics. Avoid vanity counts; every number should map back to deduped installs, sessions, events, users, revenue records, or explicit quote events.</w:t>
            </w:r>
          </w:p>
        </w:tc>
      </w:tr>
    </w:tbl>
    <w:p/>
    <w:sectPr w:rsidR="00FC693F" w:rsidRPr="0006063C" w:rsidSect="00034616">
      <w:headerReference w:type="default" r:id="rId9"/>
      <w:footerReference w:type="default" r:id="rId10"/>
      <w:pgSz w:w="12240" w:h="15840"/>
      <w:pgMar w:top="1152" w:right="1152" w:bottom="1080" w:left="1152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sz w:val="18"/>
      </w:rPr>
      <w:t xml:space="preserve">Page </w:t>
    </w:r>
    <w:fldSimple w:instr="PAGE">
      <w:r>
        <w:t>1</w:t>
      </w:r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color w:val="64748B"/>
        <w:sz w:val="18"/>
      </w:rPr>
      <w:t>Atryvo Software Complete Guide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83" w:lineRule="auto"/>
    </w:pPr>
    <w:rPr>
      <w:rFonts w:ascii="Calibri" w:hAnsi="Calibri"/>
      <w:color w:val="020617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563EB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0F766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E3A8A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60" w:line="240" w:lineRule="auto"/>
      <w:contextualSpacing/>
    </w:pPr>
    <w:rPr>
      <w:rFonts w:asciiTheme="majorHAnsi" w:eastAsiaTheme="majorEastAsia" w:hAnsiTheme="majorHAnsi" w:cstheme="majorBidi" w:ascii="Calibri" w:hAnsi="Calibri"/>
      <w:b/>
      <w:color w:val="020617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spacing w:after="240"/>
    </w:pPr>
    <w:rPr>
      <w:rFonts w:asciiTheme="majorHAnsi" w:eastAsiaTheme="majorEastAsia" w:hAnsiTheme="majorHAnsi" w:cstheme="majorBidi" w:ascii="Calibri" w:hAnsi="Calibri"/>
      <w:i/>
      <w:iCs/>
      <w:color w:val="64748B"/>
      <w:spacing w:val="15"/>
      <w:sz w:val="2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